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22C7" w:rsidRDefault="00F022C7" w:rsidP="00F022C7">
      <w:pPr>
        <w:rPr>
          <w:rFonts w:ascii="Times New Roman" w:hAnsi="Times New Roman"/>
          <w:b/>
          <w:snapToGrid/>
          <w:szCs w:val="24"/>
          <w:u w:val="single"/>
        </w:rPr>
      </w:pPr>
      <w:r w:rsidRPr="00F263A0">
        <w:rPr>
          <w:rFonts w:ascii="Times New Roman" w:hAnsi="Times New Roman"/>
          <w:b/>
          <w:snapToGrid/>
          <w:szCs w:val="24"/>
          <w:u w:val="single"/>
        </w:rPr>
        <w:t>Developmental Trends Table</w:t>
      </w:r>
    </w:p>
    <w:p w:rsidR="00F022C7" w:rsidRPr="00F263A0" w:rsidRDefault="00F022C7" w:rsidP="00F022C7">
      <w:pPr>
        <w:rPr>
          <w:rFonts w:ascii="Times New Roman" w:hAnsi="Times New Roman"/>
          <w:b/>
          <w:snapToGrid/>
          <w:szCs w:val="24"/>
          <w:u w:val="single"/>
        </w:rPr>
      </w:pPr>
    </w:p>
    <w:p w:rsidR="00F022C7" w:rsidRPr="00CE1255" w:rsidRDefault="00F022C7" w:rsidP="00F022C7">
      <w:pPr>
        <w:pStyle w:val="NormalWeb"/>
        <w:spacing w:before="0" w:beforeAutospacing="0" w:after="0" w:afterAutospacing="0"/>
        <w:rPr>
          <w:color w:val="000000"/>
          <w:lang w:val="en"/>
        </w:rPr>
      </w:pPr>
      <w:r w:rsidRPr="00CE1255">
        <w:rPr>
          <w:color w:val="000000"/>
          <w:lang w:val="en"/>
        </w:rPr>
        <w:t xml:space="preserve">The table below describes language-related behaviors of children and adolescents in five different age ranges. For each youngster, the table indicates whether the behavior is typical or unusual for the age group, suggests developmentally appropriate responses to the behavior, or both. Apply what you’ve learned about assessing developmental progress in language to fill in the empty cells in the table. </w:t>
      </w:r>
    </w:p>
    <w:p w:rsidR="00F022C7" w:rsidRPr="00BE7DB5" w:rsidRDefault="00F022C7" w:rsidP="00F022C7">
      <w:pPr>
        <w:rPr>
          <w:rFonts w:ascii="Times New Roman" w:hAnsi="Times New Roman"/>
          <w:b/>
          <w:snapToGrid/>
          <w:szCs w:val="24"/>
        </w:rPr>
      </w:pPr>
    </w:p>
    <w:p w:rsidR="00F022C7" w:rsidRDefault="00F022C7" w:rsidP="00F022C7">
      <w:pPr>
        <w:rPr>
          <w:rFonts w:ascii="Times New Roman" w:hAnsi="Times New Roman"/>
          <w:b/>
          <w:snapToGrid/>
          <w:szCs w:val="24"/>
        </w:rPr>
      </w:pPr>
    </w:p>
    <w:p w:rsidR="00F022C7" w:rsidRPr="00CE1255" w:rsidRDefault="00F022C7" w:rsidP="00F022C7">
      <w:pPr>
        <w:jc w:val="center"/>
        <w:rPr>
          <w:rFonts w:ascii="Times New Roman" w:hAnsi="Times New Roman"/>
          <w:b/>
          <w:szCs w:val="24"/>
        </w:rPr>
      </w:pPr>
      <w:r w:rsidRPr="00CE1255">
        <w:rPr>
          <w:rFonts w:ascii="Times New Roman" w:hAnsi="Times New Roman"/>
          <w:b/>
          <w:szCs w:val="24"/>
        </w:rPr>
        <w:t>Assessing Developmental Progress in Language</w:t>
      </w:r>
    </w:p>
    <w:p w:rsidR="00F022C7" w:rsidRPr="00CE1255" w:rsidRDefault="00F022C7" w:rsidP="00F022C7">
      <w:pPr>
        <w:rPr>
          <w:rFonts w:ascii="Times New Roman" w:hAnsi="Times New Roman"/>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1"/>
        <w:gridCol w:w="2807"/>
        <w:gridCol w:w="2280"/>
        <w:gridCol w:w="2508"/>
      </w:tblGrid>
      <w:tr w:rsidR="00F022C7" w:rsidRPr="00CC7DA2" w:rsidTr="0083246B">
        <w:tc>
          <w:tcPr>
            <w:tcW w:w="1261" w:type="dxa"/>
            <w:shd w:val="clear" w:color="auto" w:fill="auto"/>
          </w:tcPr>
          <w:p w:rsidR="00F022C7" w:rsidRPr="00CC7DA2" w:rsidRDefault="00F022C7" w:rsidP="0083246B">
            <w:pPr>
              <w:rPr>
                <w:rFonts w:ascii="Times New Roman" w:hAnsi="Times New Roman"/>
                <w:b/>
                <w:sz w:val="20"/>
              </w:rPr>
            </w:pPr>
            <w:r w:rsidRPr="00CC7DA2">
              <w:rPr>
                <w:rFonts w:ascii="Times New Roman" w:hAnsi="Times New Roman"/>
                <w:b/>
                <w:sz w:val="20"/>
              </w:rPr>
              <w:t>Age</w:t>
            </w:r>
          </w:p>
        </w:tc>
        <w:tc>
          <w:tcPr>
            <w:tcW w:w="2807" w:type="dxa"/>
            <w:shd w:val="clear" w:color="auto" w:fill="auto"/>
          </w:tcPr>
          <w:p w:rsidR="00F022C7" w:rsidRPr="00CC7DA2" w:rsidRDefault="00F022C7" w:rsidP="0083246B">
            <w:pPr>
              <w:rPr>
                <w:rFonts w:ascii="Times New Roman" w:hAnsi="Times New Roman"/>
                <w:b/>
                <w:sz w:val="20"/>
              </w:rPr>
            </w:pPr>
            <w:r w:rsidRPr="00CC7DA2">
              <w:rPr>
                <w:rFonts w:ascii="Times New Roman" w:hAnsi="Times New Roman"/>
                <w:b/>
                <w:sz w:val="20"/>
              </w:rPr>
              <w:t>A Youngster’s Experience</w:t>
            </w:r>
          </w:p>
        </w:tc>
        <w:tc>
          <w:tcPr>
            <w:tcW w:w="2280" w:type="dxa"/>
            <w:shd w:val="clear" w:color="auto" w:fill="auto"/>
          </w:tcPr>
          <w:p w:rsidR="00F022C7" w:rsidRPr="00CC7DA2" w:rsidRDefault="00F022C7" w:rsidP="0083246B">
            <w:pPr>
              <w:rPr>
                <w:rFonts w:ascii="Times New Roman" w:hAnsi="Times New Roman"/>
                <w:b/>
                <w:sz w:val="20"/>
              </w:rPr>
            </w:pPr>
            <w:r w:rsidRPr="00CC7DA2">
              <w:rPr>
                <w:rFonts w:ascii="Times New Roman" w:hAnsi="Times New Roman"/>
                <w:b/>
                <w:sz w:val="20"/>
              </w:rPr>
              <w:t>Developmental Concepts</w:t>
            </w:r>
          </w:p>
          <w:p w:rsidR="00F022C7" w:rsidRPr="00CC7DA2" w:rsidRDefault="00F022C7" w:rsidP="0083246B">
            <w:pPr>
              <w:rPr>
                <w:rFonts w:ascii="Times New Roman" w:hAnsi="Times New Roman"/>
                <w:sz w:val="20"/>
                <w:u w:val="single"/>
              </w:rPr>
            </w:pPr>
            <w:r w:rsidRPr="00CC7DA2">
              <w:rPr>
                <w:rFonts w:ascii="Times New Roman" w:hAnsi="Times New Roman"/>
                <w:sz w:val="20"/>
                <w:u w:val="single"/>
              </w:rPr>
              <w:t>Recognizing Typical and Unusual Behaviors for the Age Group</w:t>
            </w:r>
          </w:p>
        </w:tc>
        <w:tc>
          <w:tcPr>
            <w:tcW w:w="2508" w:type="dxa"/>
            <w:shd w:val="clear" w:color="auto" w:fill="auto"/>
          </w:tcPr>
          <w:p w:rsidR="00F022C7" w:rsidRPr="00CC7DA2" w:rsidRDefault="00F022C7" w:rsidP="0083246B">
            <w:pPr>
              <w:rPr>
                <w:rFonts w:ascii="Times New Roman" w:hAnsi="Times New Roman"/>
                <w:b/>
                <w:sz w:val="20"/>
              </w:rPr>
            </w:pPr>
            <w:r w:rsidRPr="00CC7DA2">
              <w:rPr>
                <w:rFonts w:ascii="Times New Roman" w:hAnsi="Times New Roman"/>
                <w:b/>
                <w:sz w:val="20"/>
              </w:rPr>
              <w:t>Implications</w:t>
            </w:r>
          </w:p>
          <w:p w:rsidR="00F022C7" w:rsidRPr="00CC7DA2" w:rsidRDefault="00F022C7" w:rsidP="0083246B">
            <w:pPr>
              <w:rPr>
                <w:rFonts w:ascii="Times New Roman" w:hAnsi="Times New Roman"/>
                <w:sz w:val="20"/>
                <w:u w:val="single"/>
              </w:rPr>
            </w:pPr>
            <w:r w:rsidRPr="00CC7DA2">
              <w:rPr>
                <w:rFonts w:ascii="Times New Roman" w:hAnsi="Times New Roman"/>
                <w:sz w:val="20"/>
                <w:u w:val="single"/>
              </w:rPr>
              <w:t>Facilitating Acquisition of Language Skills</w:t>
            </w:r>
          </w:p>
        </w:tc>
      </w:tr>
      <w:tr w:rsidR="00F022C7" w:rsidRPr="00CC7DA2" w:rsidTr="0083246B">
        <w:tc>
          <w:tcPr>
            <w:tcW w:w="1261" w:type="dxa"/>
            <w:shd w:val="clear" w:color="auto" w:fill="auto"/>
          </w:tcPr>
          <w:p w:rsidR="00F022C7" w:rsidRPr="00CC7DA2" w:rsidRDefault="00F022C7" w:rsidP="0083246B">
            <w:pPr>
              <w:rPr>
                <w:rFonts w:ascii="Times New Roman" w:hAnsi="Times New Roman"/>
                <w:b/>
                <w:sz w:val="20"/>
              </w:rPr>
            </w:pPr>
            <w:r w:rsidRPr="00CC7DA2">
              <w:rPr>
                <w:rFonts w:ascii="Times New Roman" w:hAnsi="Times New Roman"/>
                <w:b/>
                <w:sz w:val="20"/>
              </w:rPr>
              <w:t>Infancy (Birth–2)</w:t>
            </w:r>
          </w:p>
        </w:tc>
        <w:tc>
          <w:tcPr>
            <w:tcW w:w="2807" w:type="dxa"/>
            <w:shd w:val="clear" w:color="auto" w:fill="auto"/>
          </w:tcPr>
          <w:p w:rsidR="00F022C7" w:rsidRPr="00CC7DA2" w:rsidRDefault="00F022C7" w:rsidP="0083246B">
            <w:pPr>
              <w:rPr>
                <w:rFonts w:ascii="Times New Roman" w:hAnsi="Times New Roman"/>
                <w:sz w:val="20"/>
              </w:rPr>
            </w:pPr>
            <w:r w:rsidRPr="00CC7DA2">
              <w:rPr>
                <w:rFonts w:ascii="Times New Roman" w:hAnsi="Times New Roman"/>
                <w:sz w:val="20"/>
              </w:rPr>
              <w:t>When a caregiver at a child care center exclaims, “Your daddy’s here!” 10-month-old Midori looks eagerly in the direction of the door. But despite Midori’s apparent understanding of the word Daddy, she does not yet say his name, not even a reasonable approximation such as “Dada.” Sometimes she says “</w:t>
            </w:r>
            <w:proofErr w:type="spellStart"/>
            <w:r w:rsidRPr="00CC7DA2">
              <w:rPr>
                <w:rFonts w:ascii="Times New Roman" w:hAnsi="Times New Roman"/>
                <w:sz w:val="20"/>
              </w:rPr>
              <w:t>dadadadada</w:t>
            </w:r>
            <w:proofErr w:type="spellEnd"/>
            <w:r w:rsidRPr="00CC7DA2">
              <w:rPr>
                <w:rFonts w:ascii="Times New Roman" w:hAnsi="Times New Roman"/>
                <w:sz w:val="20"/>
              </w:rPr>
              <w:t>,” but with little regard for whether her father is present.</w:t>
            </w:r>
          </w:p>
        </w:tc>
        <w:tc>
          <w:tcPr>
            <w:tcW w:w="2280" w:type="dxa"/>
            <w:shd w:val="clear" w:color="auto" w:fill="auto"/>
          </w:tcPr>
          <w:p w:rsidR="00F022C7" w:rsidRPr="00CC7DA2" w:rsidRDefault="00F022C7" w:rsidP="0083246B">
            <w:pPr>
              <w:rPr>
                <w:rFonts w:ascii="Times New Roman" w:hAnsi="Times New Roman"/>
                <w:sz w:val="20"/>
              </w:rPr>
            </w:pPr>
          </w:p>
        </w:tc>
        <w:tc>
          <w:tcPr>
            <w:tcW w:w="2508" w:type="dxa"/>
            <w:shd w:val="clear" w:color="auto" w:fill="auto"/>
          </w:tcPr>
          <w:p w:rsidR="00F022C7" w:rsidRPr="00CC7DA2" w:rsidRDefault="00F022C7" w:rsidP="0083246B">
            <w:pPr>
              <w:rPr>
                <w:rFonts w:ascii="Times New Roman" w:hAnsi="Times New Roman"/>
                <w:sz w:val="20"/>
              </w:rPr>
            </w:pPr>
            <w:r w:rsidRPr="00CC7DA2">
              <w:rPr>
                <w:rFonts w:ascii="Times New Roman" w:hAnsi="Times New Roman"/>
                <w:sz w:val="20"/>
              </w:rPr>
              <w:t>Regularly engage infants in “conversations” in which they can practice vocalizing, taking turns, maintaining eye contact, and using other basic language skills. Simplify your language somewhat (e.g., use infant-directed speech), but use a variety of words in appropriate contexts.</w:t>
            </w:r>
          </w:p>
        </w:tc>
      </w:tr>
      <w:tr w:rsidR="00F022C7" w:rsidRPr="00CC7DA2" w:rsidTr="0083246B">
        <w:tc>
          <w:tcPr>
            <w:tcW w:w="1261" w:type="dxa"/>
            <w:shd w:val="clear" w:color="auto" w:fill="auto"/>
          </w:tcPr>
          <w:p w:rsidR="00F022C7" w:rsidRPr="00CC7DA2" w:rsidRDefault="00F022C7" w:rsidP="0083246B">
            <w:pPr>
              <w:pStyle w:val="Default"/>
              <w:rPr>
                <w:b/>
                <w:sz w:val="20"/>
                <w:szCs w:val="20"/>
              </w:rPr>
            </w:pPr>
            <w:r w:rsidRPr="00CC7DA2">
              <w:rPr>
                <w:b/>
                <w:sz w:val="20"/>
                <w:szCs w:val="20"/>
              </w:rPr>
              <w:t xml:space="preserve">Early Childhood (2–6) </w:t>
            </w:r>
          </w:p>
          <w:p w:rsidR="00F022C7" w:rsidRPr="00CC7DA2" w:rsidRDefault="00F022C7" w:rsidP="0083246B">
            <w:pPr>
              <w:rPr>
                <w:rFonts w:ascii="Times New Roman" w:hAnsi="Times New Roman"/>
                <w:b/>
                <w:sz w:val="20"/>
              </w:rPr>
            </w:pPr>
          </w:p>
        </w:tc>
        <w:tc>
          <w:tcPr>
            <w:tcW w:w="2807" w:type="dxa"/>
            <w:shd w:val="clear" w:color="auto" w:fill="auto"/>
          </w:tcPr>
          <w:p w:rsidR="00F022C7" w:rsidRPr="00CC7DA2" w:rsidRDefault="00F022C7" w:rsidP="0083246B">
            <w:pPr>
              <w:pStyle w:val="Default"/>
              <w:rPr>
                <w:sz w:val="20"/>
                <w:szCs w:val="20"/>
              </w:rPr>
            </w:pPr>
            <w:r w:rsidRPr="00CC7DA2">
              <w:rPr>
                <w:sz w:val="20"/>
                <w:szCs w:val="20"/>
              </w:rPr>
              <w:t xml:space="preserve">Twenty kindergartners sit quietly and politely as the school principal describes the procedure they should follow during a fire drill. After the principal leaves the room, however, many of them are unable to describe the procedure she has spoken about. </w:t>
            </w:r>
          </w:p>
          <w:p w:rsidR="00F022C7" w:rsidRPr="00CC7DA2" w:rsidRDefault="00F022C7" w:rsidP="0083246B">
            <w:pPr>
              <w:rPr>
                <w:rFonts w:ascii="Times New Roman" w:hAnsi="Times New Roman"/>
                <w:sz w:val="20"/>
              </w:rPr>
            </w:pPr>
          </w:p>
        </w:tc>
        <w:tc>
          <w:tcPr>
            <w:tcW w:w="2280" w:type="dxa"/>
            <w:shd w:val="clear" w:color="auto" w:fill="auto"/>
          </w:tcPr>
          <w:p w:rsidR="00F022C7" w:rsidRPr="00CC7DA2" w:rsidRDefault="00F022C7" w:rsidP="0083246B">
            <w:pPr>
              <w:pStyle w:val="Default"/>
              <w:rPr>
                <w:sz w:val="20"/>
                <w:szCs w:val="20"/>
              </w:rPr>
            </w:pPr>
            <w:r w:rsidRPr="00CC7DA2">
              <w:rPr>
                <w:sz w:val="20"/>
                <w:szCs w:val="20"/>
              </w:rPr>
              <w:t>This behavior is typical for the age group. Young children often think that being a “good listener” simply means sitting still and being quie</w:t>
            </w:r>
            <w:bookmarkStart w:id="0" w:name="_GoBack"/>
            <w:bookmarkEnd w:id="0"/>
            <w:r w:rsidRPr="00CC7DA2">
              <w:rPr>
                <w:sz w:val="20"/>
                <w:szCs w:val="20"/>
              </w:rPr>
              <w:t xml:space="preserve">t. They do not necessarily realize that listening also involves understanding and remembering what the speaker says. </w:t>
            </w:r>
          </w:p>
          <w:p w:rsidR="00F022C7" w:rsidRPr="00CC7DA2" w:rsidRDefault="00F022C7" w:rsidP="0083246B">
            <w:pPr>
              <w:rPr>
                <w:rFonts w:ascii="Times New Roman" w:hAnsi="Times New Roman"/>
                <w:sz w:val="20"/>
              </w:rPr>
            </w:pPr>
          </w:p>
        </w:tc>
        <w:tc>
          <w:tcPr>
            <w:tcW w:w="2508" w:type="dxa"/>
            <w:shd w:val="clear" w:color="auto" w:fill="auto"/>
          </w:tcPr>
          <w:p w:rsidR="00F022C7" w:rsidRPr="00CC7DA2" w:rsidRDefault="00F022C7" w:rsidP="0083246B">
            <w:pPr>
              <w:rPr>
                <w:rFonts w:ascii="Times New Roman" w:hAnsi="Times New Roman"/>
                <w:b/>
                <w:sz w:val="20"/>
              </w:rPr>
            </w:pPr>
          </w:p>
        </w:tc>
      </w:tr>
      <w:tr w:rsidR="00F022C7" w:rsidRPr="00CC7DA2" w:rsidTr="0083246B">
        <w:tc>
          <w:tcPr>
            <w:tcW w:w="1261" w:type="dxa"/>
            <w:shd w:val="clear" w:color="auto" w:fill="auto"/>
          </w:tcPr>
          <w:p w:rsidR="00F022C7" w:rsidRPr="00CC7DA2" w:rsidRDefault="00F022C7" w:rsidP="0083246B">
            <w:pPr>
              <w:pStyle w:val="Default"/>
              <w:rPr>
                <w:b/>
                <w:sz w:val="20"/>
                <w:szCs w:val="20"/>
              </w:rPr>
            </w:pPr>
            <w:r w:rsidRPr="00CC7DA2">
              <w:rPr>
                <w:b/>
                <w:sz w:val="20"/>
                <w:szCs w:val="20"/>
              </w:rPr>
              <w:t xml:space="preserve">Middle Childhood (6–10) </w:t>
            </w:r>
          </w:p>
          <w:p w:rsidR="00F022C7" w:rsidRPr="00CC7DA2" w:rsidRDefault="00F022C7" w:rsidP="0083246B">
            <w:pPr>
              <w:rPr>
                <w:rFonts w:ascii="Times New Roman" w:hAnsi="Times New Roman"/>
                <w:b/>
                <w:sz w:val="20"/>
              </w:rPr>
            </w:pPr>
          </w:p>
        </w:tc>
        <w:tc>
          <w:tcPr>
            <w:tcW w:w="2807" w:type="dxa"/>
            <w:shd w:val="clear" w:color="auto" w:fill="auto"/>
          </w:tcPr>
          <w:p w:rsidR="00F022C7" w:rsidRPr="00CC7DA2" w:rsidRDefault="00F022C7" w:rsidP="0083246B">
            <w:pPr>
              <w:pStyle w:val="Default"/>
              <w:rPr>
                <w:sz w:val="20"/>
                <w:szCs w:val="20"/>
              </w:rPr>
            </w:pPr>
            <w:r w:rsidRPr="00CC7DA2">
              <w:rPr>
                <w:sz w:val="20"/>
                <w:szCs w:val="20"/>
              </w:rPr>
              <w:t xml:space="preserve">Seven-year-old Arthur’s sentences are rarely more than two or three words long. </w:t>
            </w:r>
          </w:p>
          <w:p w:rsidR="00F022C7" w:rsidRPr="00CC7DA2" w:rsidRDefault="00F022C7" w:rsidP="0083246B">
            <w:pPr>
              <w:rPr>
                <w:rFonts w:ascii="Times New Roman" w:hAnsi="Times New Roman"/>
                <w:sz w:val="20"/>
              </w:rPr>
            </w:pPr>
          </w:p>
        </w:tc>
        <w:tc>
          <w:tcPr>
            <w:tcW w:w="2280" w:type="dxa"/>
            <w:shd w:val="clear" w:color="auto" w:fill="auto"/>
          </w:tcPr>
          <w:p w:rsidR="00F022C7" w:rsidRPr="00CC7DA2" w:rsidRDefault="00F022C7" w:rsidP="0083246B">
            <w:pPr>
              <w:pStyle w:val="Default"/>
              <w:rPr>
                <w:sz w:val="20"/>
                <w:szCs w:val="20"/>
              </w:rPr>
            </w:pPr>
            <w:r w:rsidRPr="00CC7DA2">
              <w:rPr>
                <w:sz w:val="20"/>
                <w:szCs w:val="20"/>
              </w:rPr>
              <w:t xml:space="preserve">Such speech is unusual for the age group. Children typically begin putting two words together sometime around age 2, and their sentences become increasingly longer after that. By school age, their sentences are </w:t>
            </w:r>
            <w:proofErr w:type="spellStart"/>
            <w:r w:rsidRPr="00CC7DA2">
              <w:rPr>
                <w:sz w:val="20"/>
                <w:szCs w:val="20"/>
              </w:rPr>
              <w:t>adultlike</w:t>
            </w:r>
            <w:proofErr w:type="spellEnd"/>
            <w:r w:rsidRPr="00CC7DA2">
              <w:rPr>
                <w:sz w:val="20"/>
                <w:szCs w:val="20"/>
              </w:rPr>
              <w:t xml:space="preserve"> in many respects. </w:t>
            </w:r>
          </w:p>
          <w:p w:rsidR="00F022C7" w:rsidRPr="00CC7DA2" w:rsidRDefault="00F022C7" w:rsidP="0083246B">
            <w:pPr>
              <w:rPr>
                <w:rFonts w:ascii="Times New Roman" w:hAnsi="Times New Roman"/>
                <w:sz w:val="20"/>
              </w:rPr>
            </w:pPr>
          </w:p>
        </w:tc>
        <w:tc>
          <w:tcPr>
            <w:tcW w:w="2508" w:type="dxa"/>
            <w:shd w:val="clear" w:color="auto" w:fill="auto"/>
          </w:tcPr>
          <w:p w:rsidR="00F022C7" w:rsidRPr="00CC7DA2" w:rsidRDefault="00F022C7" w:rsidP="0083246B">
            <w:pPr>
              <w:rPr>
                <w:rFonts w:ascii="Times New Roman" w:hAnsi="Times New Roman"/>
                <w:b/>
                <w:sz w:val="20"/>
              </w:rPr>
            </w:pPr>
          </w:p>
        </w:tc>
      </w:tr>
    </w:tbl>
    <w:p w:rsidR="00682AA2" w:rsidRDefault="00682AA2"/>
    <w:sectPr w:rsidR="00682A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22C7"/>
    <w:rsid w:val="00682AA2"/>
    <w:rsid w:val="00F022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22C7"/>
    <w:pPr>
      <w:widowControl w:val="0"/>
      <w:spacing w:after="0" w:line="240" w:lineRule="auto"/>
    </w:pPr>
    <w:rPr>
      <w:rFonts w:ascii="Courier" w:eastAsia="Times New Roman" w:hAnsi="Courier"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F022C7"/>
    <w:pPr>
      <w:widowControl/>
      <w:spacing w:before="100" w:beforeAutospacing="1" w:after="100" w:afterAutospacing="1"/>
    </w:pPr>
    <w:rPr>
      <w:rFonts w:ascii="Times New Roman" w:hAnsi="Times New Roman"/>
      <w:snapToGrid/>
      <w:szCs w:val="24"/>
    </w:rPr>
  </w:style>
  <w:style w:type="paragraph" w:customStyle="1" w:styleId="Default">
    <w:name w:val="Default"/>
    <w:rsid w:val="00F022C7"/>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22C7"/>
    <w:pPr>
      <w:widowControl w:val="0"/>
      <w:spacing w:after="0" w:line="240" w:lineRule="auto"/>
    </w:pPr>
    <w:rPr>
      <w:rFonts w:ascii="Courier" w:eastAsia="Times New Roman" w:hAnsi="Courier"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F022C7"/>
    <w:pPr>
      <w:widowControl/>
      <w:spacing w:before="100" w:beforeAutospacing="1" w:after="100" w:afterAutospacing="1"/>
    </w:pPr>
    <w:rPr>
      <w:rFonts w:ascii="Times New Roman" w:hAnsi="Times New Roman"/>
      <w:snapToGrid/>
      <w:szCs w:val="24"/>
    </w:rPr>
  </w:style>
  <w:style w:type="paragraph" w:customStyle="1" w:styleId="Default">
    <w:name w:val="Default"/>
    <w:rsid w:val="00F022C7"/>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330</Words>
  <Characters>1887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Dinehart</dc:creator>
  <cp:lastModifiedBy>Laura Dinehart</cp:lastModifiedBy>
  <cp:revision>1</cp:revision>
  <dcterms:created xsi:type="dcterms:W3CDTF">2013-06-03T17:07:00Z</dcterms:created>
  <dcterms:modified xsi:type="dcterms:W3CDTF">2013-06-03T17:10:00Z</dcterms:modified>
</cp:coreProperties>
</file>